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00A0A7CA"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DA641A">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15C685E4" w:rsidR="00E03951" w:rsidRPr="00C879DC" w:rsidRDefault="00E03951" w:rsidP="00E03951">
      <w:pPr>
        <w:pStyle w:val="Titre2"/>
        <w:rPr>
          <w:bCs/>
        </w:rPr>
      </w:pPr>
      <w:r>
        <w:rPr>
          <w:bCs/>
        </w:rPr>
        <w:t>Profil</w:t>
      </w:r>
    </w:p>
    <w:p w14:paraId="02B1FC06" w14:textId="4E9D9870" w:rsidR="005D49FD" w:rsidRPr="005D49FD" w:rsidRDefault="005D49FD" w:rsidP="00F431D6">
      <w:pPr>
        <w:pStyle w:val="paragraph"/>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Issu de formation supérieure en informatique Bac+5 (écoles d'ingénieurs), vous disposez d'une solide expérience, environ 3 ans, dans les domaines de SOC, qui vous ont permis d'obtenir une certification technique dans au moins l'un des domaines </w:t>
      </w:r>
      <w:r w:rsidRPr="005D49FD">
        <w:rPr>
          <w:rFonts w:asciiTheme="minorHAnsi" w:eastAsiaTheme="minorEastAsia" w:hAnsiTheme="minorHAnsi" w:cstheme="minorBidi"/>
          <w:sz w:val="22"/>
          <w:lang w:eastAsia="en-US"/>
        </w:rPr>
        <w:t>suivants :</w:t>
      </w:r>
    </w:p>
    <w:p w14:paraId="0465C07D" w14:textId="77777777" w:rsidR="00F431D6" w:rsidRPr="00F431D6" w:rsidRDefault="00F431D6" w:rsidP="00F431D6">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04292FE9" w14:textId="77777777" w:rsidR="005D49FD" w:rsidRPr="005D49FD" w:rsidRDefault="005D49FD" w:rsidP="00F431D6">
      <w:pPr>
        <w:pStyle w:val="paragraph"/>
        <w:numPr>
          <w:ilvl w:val="0"/>
          <w:numId w:val="31"/>
        </w:numPr>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SOC</w:t>
      </w:r>
    </w:p>
    <w:p w14:paraId="72AF2D42" w14:textId="77777777" w:rsidR="005D49FD" w:rsidRPr="005D49FD" w:rsidRDefault="005D49FD" w:rsidP="00F431D6">
      <w:pPr>
        <w:pStyle w:val="paragraph"/>
        <w:numPr>
          <w:ilvl w:val="0"/>
          <w:numId w:val="31"/>
        </w:numPr>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SIEM</w:t>
      </w:r>
    </w:p>
    <w:p w14:paraId="4D32324D" w14:textId="77777777" w:rsidR="005D49FD" w:rsidRPr="005D49FD" w:rsidRDefault="005D49FD" w:rsidP="00F431D6">
      <w:pPr>
        <w:pStyle w:val="paragraph"/>
        <w:numPr>
          <w:ilvl w:val="0"/>
          <w:numId w:val="31"/>
        </w:numPr>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SOAR</w:t>
      </w:r>
    </w:p>
    <w:p w14:paraId="2814E455" w14:textId="77777777" w:rsidR="005D49FD" w:rsidRPr="005D49FD" w:rsidRDefault="005D49FD" w:rsidP="00F431D6">
      <w:pPr>
        <w:pStyle w:val="paragraph"/>
        <w:numPr>
          <w:ilvl w:val="0"/>
          <w:numId w:val="31"/>
        </w:numPr>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EDR</w:t>
      </w:r>
    </w:p>
    <w:p w14:paraId="6A407941" w14:textId="4488604E" w:rsidR="00E03951" w:rsidRDefault="005D49FD" w:rsidP="005D49FD">
      <w:pPr>
        <w:pStyle w:val="paragraph"/>
        <w:numPr>
          <w:ilvl w:val="0"/>
          <w:numId w:val="31"/>
        </w:numPr>
        <w:spacing w:before="0" w:beforeAutospacing="0" w:after="0" w:afterAutospacing="0"/>
        <w:textAlignment w:val="baseline"/>
        <w:rPr>
          <w:rFonts w:asciiTheme="minorHAnsi" w:eastAsiaTheme="minorEastAsia" w:hAnsiTheme="minorHAnsi" w:cstheme="minorBidi"/>
          <w:sz w:val="22"/>
          <w:lang w:eastAsia="en-US"/>
        </w:rPr>
      </w:pPr>
      <w:r w:rsidRPr="005D49FD">
        <w:rPr>
          <w:rFonts w:asciiTheme="minorHAnsi" w:eastAsiaTheme="minorEastAsia" w:hAnsiTheme="minorHAnsi" w:cstheme="minorBidi"/>
          <w:sz w:val="22"/>
          <w:lang w:eastAsia="en-US"/>
        </w:rPr>
        <w:t>XDR</w:t>
      </w:r>
    </w:p>
    <w:p w14:paraId="3092EE27" w14:textId="77777777" w:rsidR="005D49FD" w:rsidRDefault="005D49FD" w:rsidP="005D49FD">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590FDA3E" w14:textId="75584F46" w:rsidR="005D49FD" w:rsidRDefault="005D49FD" w:rsidP="005D49FD">
      <w:pPr>
        <w:pStyle w:val="paragraph"/>
        <w:spacing w:before="0" w:beforeAutospacing="0" w:after="0" w:afterAutospacing="0"/>
        <w:textAlignment w:val="baseline"/>
        <w:rPr>
          <w:rFonts w:asciiTheme="minorHAnsi" w:eastAsiaTheme="minorEastAsia" w:hAnsiTheme="minorHAnsi" w:cstheme="minorBidi"/>
          <w:sz w:val="22"/>
          <w:lang w:eastAsia="en-US"/>
        </w:rPr>
      </w:pPr>
      <w:r>
        <w:rPr>
          <w:rFonts w:asciiTheme="minorHAnsi" w:eastAsiaTheme="minorEastAsia" w:hAnsiTheme="minorHAnsi" w:cstheme="minorBidi"/>
          <w:sz w:val="22"/>
          <w:lang w:eastAsia="en-US"/>
        </w:rPr>
        <w:t xml:space="preserve">Pour réussir sur ce poste, </w:t>
      </w:r>
      <w:r w:rsidRPr="005D49FD">
        <w:rPr>
          <w:rFonts w:asciiTheme="minorHAnsi" w:eastAsiaTheme="minorEastAsia" w:hAnsiTheme="minorHAnsi" w:cstheme="minorBidi"/>
          <w:b/>
          <w:bCs/>
          <w:sz w:val="22"/>
          <w:lang w:eastAsia="en-US"/>
        </w:rPr>
        <w:t xml:space="preserve">la maitrise de </w:t>
      </w:r>
      <w:proofErr w:type="spellStart"/>
      <w:r>
        <w:rPr>
          <w:rFonts w:asciiTheme="minorHAnsi" w:eastAsiaTheme="minorEastAsia" w:hAnsiTheme="minorHAnsi" w:cstheme="minorBidi"/>
          <w:b/>
          <w:bCs/>
          <w:sz w:val="22"/>
          <w:lang w:eastAsia="en-US"/>
        </w:rPr>
        <w:t>Qradar</w:t>
      </w:r>
      <w:proofErr w:type="spellEnd"/>
      <w:r>
        <w:rPr>
          <w:rFonts w:asciiTheme="minorHAnsi" w:eastAsiaTheme="minorEastAsia" w:hAnsiTheme="minorHAnsi" w:cstheme="minorBidi"/>
          <w:sz w:val="22"/>
          <w:lang w:eastAsia="en-US"/>
        </w:rPr>
        <w:t xml:space="preserve"> est indispensable !</w:t>
      </w:r>
    </w:p>
    <w:p w14:paraId="65E3AB92" w14:textId="77777777" w:rsidR="005D49FD" w:rsidRPr="00E03951" w:rsidRDefault="005D49FD" w:rsidP="005D49FD">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31D8" w14:textId="77777777" w:rsidR="000600BF" w:rsidRDefault="000600BF" w:rsidP="00D15955">
      <w:pPr>
        <w:spacing w:before="0" w:after="0"/>
      </w:pPr>
      <w:r>
        <w:separator/>
      </w:r>
    </w:p>
  </w:endnote>
  <w:endnote w:type="continuationSeparator" w:id="0">
    <w:p w14:paraId="51B87204" w14:textId="77777777" w:rsidR="000600BF" w:rsidRDefault="000600BF"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0CA2" w14:textId="77777777" w:rsidR="000600BF" w:rsidRDefault="000600BF" w:rsidP="00D15955">
      <w:pPr>
        <w:spacing w:before="0" w:after="0"/>
      </w:pPr>
      <w:r>
        <w:separator/>
      </w:r>
    </w:p>
  </w:footnote>
  <w:footnote w:type="continuationSeparator" w:id="0">
    <w:p w14:paraId="41323783" w14:textId="77777777" w:rsidR="000600BF" w:rsidRDefault="000600BF"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58773F"/>
    <w:multiLevelType w:val="hybridMultilevel"/>
    <w:tmpl w:val="0BD2E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A0A15"/>
    <w:multiLevelType w:val="multilevel"/>
    <w:tmpl w:val="17B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000063"/>
    <w:multiLevelType w:val="multilevel"/>
    <w:tmpl w:val="F920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6"/>
  </w:num>
  <w:num w:numId="2" w16cid:durableId="1371027513">
    <w:abstractNumId w:val="10"/>
  </w:num>
  <w:num w:numId="3" w16cid:durableId="1258057163">
    <w:abstractNumId w:val="23"/>
  </w:num>
  <w:num w:numId="4" w16cid:durableId="1544825230">
    <w:abstractNumId w:val="24"/>
  </w:num>
  <w:num w:numId="5" w16cid:durableId="1830630846">
    <w:abstractNumId w:val="13"/>
  </w:num>
  <w:num w:numId="6" w16cid:durableId="1294753357">
    <w:abstractNumId w:val="8"/>
  </w:num>
  <w:num w:numId="7" w16cid:durableId="68700583">
    <w:abstractNumId w:val="9"/>
  </w:num>
  <w:num w:numId="8" w16cid:durableId="1893149393">
    <w:abstractNumId w:val="0"/>
  </w:num>
  <w:num w:numId="9" w16cid:durableId="1926303956">
    <w:abstractNumId w:val="30"/>
  </w:num>
  <w:num w:numId="10" w16cid:durableId="800420314">
    <w:abstractNumId w:val="17"/>
  </w:num>
  <w:num w:numId="11" w16cid:durableId="1949581774">
    <w:abstractNumId w:val="26"/>
  </w:num>
  <w:num w:numId="12" w16cid:durableId="511186015">
    <w:abstractNumId w:val="4"/>
  </w:num>
  <w:num w:numId="13" w16cid:durableId="699168185">
    <w:abstractNumId w:val="3"/>
  </w:num>
  <w:num w:numId="14" w16cid:durableId="1668290195">
    <w:abstractNumId w:val="16"/>
  </w:num>
  <w:num w:numId="15" w16cid:durableId="87581265">
    <w:abstractNumId w:val="27"/>
  </w:num>
  <w:num w:numId="16" w16cid:durableId="1825315252">
    <w:abstractNumId w:val="5"/>
  </w:num>
  <w:num w:numId="17" w16cid:durableId="236214193">
    <w:abstractNumId w:val="11"/>
  </w:num>
  <w:num w:numId="18" w16cid:durableId="1499156081">
    <w:abstractNumId w:val="1"/>
  </w:num>
  <w:num w:numId="19" w16cid:durableId="340007861">
    <w:abstractNumId w:val="7"/>
  </w:num>
  <w:num w:numId="20" w16cid:durableId="78450675">
    <w:abstractNumId w:val="25"/>
  </w:num>
  <w:num w:numId="21" w16cid:durableId="2126776144">
    <w:abstractNumId w:val="14"/>
  </w:num>
  <w:num w:numId="22" w16cid:durableId="1389185491">
    <w:abstractNumId w:val="12"/>
  </w:num>
  <w:num w:numId="23" w16cid:durableId="1695425394">
    <w:abstractNumId w:val="22"/>
  </w:num>
  <w:num w:numId="24" w16cid:durableId="1953975866">
    <w:abstractNumId w:val="20"/>
  </w:num>
  <w:num w:numId="25" w16cid:durableId="934675959">
    <w:abstractNumId w:val="2"/>
  </w:num>
  <w:num w:numId="26" w16cid:durableId="1141078391">
    <w:abstractNumId w:val="15"/>
  </w:num>
  <w:num w:numId="27" w16cid:durableId="1689062661">
    <w:abstractNumId w:val="29"/>
  </w:num>
  <w:num w:numId="28" w16cid:durableId="1005060983">
    <w:abstractNumId w:val="19"/>
  </w:num>
  <w:num w:numId="29" w16cid:durableId="275062458">
    <w:abstractNumId w:val="28"/>
  </w:num>
  <w:num w:numId="30" w16cid:durableId="1893998887">
    <w:abstractNumId w:val="21"/>
  </w:num>
  <w:num w:numId="31" w16cid:durableId="55015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600BF"/>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762E0"/>
    <w:rsid w:val="00181B94"/>
    <w:rsid w:val="00184544"/>
    <w:rsid w:val="001856A9"/>
    <w:rsid w:val="00185A6C"/>
    <w:rsid w:val="00196C4B"/>
    <w:rsid w:val="001A75A3"/>
    <w:rsid w:val="001B73E3"/>
    <w:rsid w:val="001C34F4"/>
    <w:rsid w:val="001F3C23"/>
    <w:rsid w:val="0020435A"/>
    <w:rsid w:val="00210A14"/>
    <w:rsid w:val="00246CDD"/>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D49FD"/>
    <w:rsid w:val="005F7210"/>
    <w:rsid w:val="0061295B"/>
    <w:rsid w:val="00621A08"/>
    <w:rsid w:val="00626280"/>
    <w:rsid w:val="00633D82"/>
    <w:rsid w:val="0063705E"/>
    <w:rsid w:val="0064157C"/>
    <w:rsid w:val="00657D08"/>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A641A"/>
    <w:rsid w:val="00DB2FE9"/>
    <w:rsid w:val="00DB3FC5"/>
    <w:rsid w:val="00DC0FA8"/>
    <w:rsid w:val="00DC526B"/>
    <w:rsid w:val="00DE0FBD"/>
    <w:rsid w:val="00DE11E2"/>
    <w:rsid w:val="00DE13A0"/>
    <w:rsid w:val="00DE2D3D"/>
    <w:rsid w:val="00DF0C4B"/>
    <w:rsid w:val="00E00EA9"/>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431D6"/>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370031267">
      <w:bodyDiv w:val="1"/>
      <w:marLeft w:val="0"/>
      <w:marRight w:val="0"/>
      <w:marTop w:val="0"/>
      <w:marBottom w:val="0"/>
      <w:divBdr>
        <w:top w:val="none" w:sz="0" w:space="0" w:color="auto"/>
        <w:left w:val="none" w:sz="0" w:space="0" w:color="auto"/>
        <w:bottom w:val="none" w:sz="0" w:space="0" w:color="auto"/>
        <w:right w:val="none" w:sz="0" w:space="0" w:color="auto"/>
      </w:divBdr>
      <w:divsChild>
        <w:div w:id="117378245">
          <w:marLeft w:val="0"/>
          <w:marRight w:val="0"/>
          <w:marTop w:val="0"/>
          <w:marBottom w:val="0"/>
          <w:divBdr>
            <w:top w:val="none" w:sz="0" w:space="0" w:color="auto"/>
            <w:left w:val="none" w:sz="0" w:space="0" w:color="auto"/>
            <w:bottom w:val="none" w:sz="0" w:space="0" w:color="auto"/>
            <w:right w:val="none" w:sz="0" w:space="0" w:color="auto"/>
          </w:divBdr>
        </w:div>
        <w:div w:id="1723863587">
          <w:marLeft w:val="0"/>
          <w:marRight w:val="0"/>
          <w:marTop w:val="0"/>
          <w:marBottom w:val="0"/>
          <w:divBdr>
            <w:top w:val="none" w:sz="0" w:space="0" w:color="auto"/>
            <w:left w:val="none" w:sz="0" w:space="0" w:color="auto"/>
            <w:bottom w:val="none" w:sz="0" w:space="0" w:color="auto"/>
            <w:right w:val="none" w:sz="0" w:space="0" w:color="auto"/>
          </w:divBdr>
        </w:div>
      </w:divsChild>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2.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4.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19</TotalTime>
  <Pages>1</Pages>
  <Words>398</Words>
  <Characters>2189</Characters>
  <Application>Microsoft Office Word</Application>
  <DocSecurity>0</DocSecurity>
  <Lines>18</Lines>
  <Paragraphs>5</Paragraphs>
  <ScaleCrop>false</ScaleCrop>
  <Company>Docapost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8</cp:revision>
  <dcterms:created xsi:type="dcterms:W3CDTF">2022-12-07T09:54:00Z</dcterms:created>
  <dcterms:modified xsi:type="dcterms:W3CDTF">2023-10-11T15:00:00Z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