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220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55D4F33B" w14:textId="1F6A4EAA" w:rsidR="00057164" w:rsidRPr="00C879DC" w:rsidRDefault="00057164" w:rsidP="00057164">
      <w:pPr>
        <w:pStyle w:val="Titre2"/>
        <w:rPr>
          <w:bCs/>
        </w:rPr>
      </w:pPr>
      <w:r>
        <w:rPr>
          <w:bCs/>
        </w:rPr>
        <w:t>Missions principales</w:t>
      </w:r>
    </w:p>
    <w:p w14:paraId="29DE7255" w14:textId="77777777" w:rsidR="00057164" w:rsidRDefault="00057164"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136FB171" w14:textId="77777777" w:rsidR="00057164" w:rsidRDefault="00057164" w:rsidP="00057164">
      <w:pPr>
        <w:pStyle w:val="paragraph"/>
        <w:numPr>
          <w:ilvl w:val="0"/>
          <w:numId w:val="35"/>
        </w:numPr>
        <w:spacing w:before="0" w:beforeAutospacing="0" w:after="0" w:afterAutospacing="0"/>
        <w:textAlignment w:val="baseline"/>
        <w:rPr>
          <w:rFonts w:asciiTheme="minorHAnsi" w:eastAsiaTheme="minorEastAsia" w:hAnsiTheme="minorHAnsi" w:cstheme="minorBidi"/>
          <w:sz w:val="22"/>
          <w:lang w:eastAsia="en-US"/>
        </w:rPr>
      </w:pPr>
      <w:r w:rsidRPr="00057164">
        <w:rPr>
          <w:rFonts w:asciiTheme="minorHAnsi" w:eastAsiaTheme="minorEastAsia" w:hAnsiTheme="minorHAnsi" w:cstheme="minorBidi"/>
          <w:sz w:val="22"/>
          <w:lang w:eastAsia="en-US"/>
        </w:rPr>
        <w:t>Être référent technique sur son domaine de compétence</w:t>
      </w:r>
      <w:r w:rsidRPr="00057164">
        <w:rPr>
          <w:rFonts w:asciiTheme="minorHAnsi" w:eastAsiaTheme="minorEastAsia" w:hAnsiTheme="minorHAnsi" w:cstheme="minorBidi"/>
          <w:sz w:val="22"/>
          <w:lang w:eastAsia="en-US"/>
        </w:rPr>
        <w:br/>
        <w:t>•Valider voire définir les plans de mise en production (PMEP)</w:t>
      </w:r>
      <w:r w:rsidRPr="00057164">
        <w:rPr>
          <w:rFonts w:asciiTheme="minorHAnsi" w:eastAsiaTheme="minorEastAsia" w:hAnsiTheme="minorHAnsi" w:cstheme="minorBidi"/>
          <w:sz w:val="22"/>
          <w:lang w:eastAsia="en-US"/>
        </w:rPr>
        <w:br/>
        <w:t>•Contrôler et valider la qualité des livrables des équipes projets et d'architecture</w:t>
      </w:r>
      <w:r w:rsidRPr="00057164">
        <w:rPr>
          <w:rFonts w:asciiTheme="minorHAnsi" w:eastAsiaTheme="minorEastAsia" w:hAnsiTheme="minorHAnsi" w:cstheme="minorBidi"/>
          <w:sz w:val="22"/>
          <w:lang w:eastAsia="en-US"/>
        </w:rPr>
        <w:br/>
        <w:t>•Déployer les infrastructures à forte valeur ajoutée</w:t>
      </w:r>
      <w:r w:rsidRPr="00057164">
        <w:rPr>
          <w:rFonts w:asciiTheme="minorHAnsi" w:eastAsiaTheme="minorEastAsia" w:hAnsiTheme="minorHAnsi" w:cstheme="minorBidi"/>
          <w:sz w:val="22"/>
          <w:lang w:eastAsia="en-US"/>
        </w:rPr>
        <w:br/>
        <w:t>•MCO les moyens en veillant au respect des normes et des critères de performance</w:t>
      </w:r>
      <w:r w:rsidRPr="00057164">
        <w:rPr>
          <w:rFonts w:asciiTheme="minorHAnsi" w:eastAsiaTheme="minorEastAsia" w:hAnsiTheme="minorHAnsi" w:cstheme="minorBidi"/>
          <w:sz w:val="22"/>
          <w:lang w:eastAsia="en-US"/>
        </w:rPr>
        <w:br/>
        <w:t>•Définir les tâches de servitude : événements, supervision, sauvegardes, ...</w:t>
      </w:r>
    </w:p>
    <w:p w14:paraId="15970C91" w14:textId="5F7B2CB9" w:rsidR="00057164" w:rsidRPr="00057164" w:rsidRDefault="00057164" w:rsidP="00057164">
      <w:pPr>
        <w:pStyle w:val="paragraph"/>
        <w:spacing w:before="0" w:beforeAutospacing="0" w:after="0" w:afterAutospacing="0"/>
        <w:ind w:left="720"/>
        <w:textAlignment w:val="baseline"/>
        <w:rPr>
          <w:rFonts w:asciiTheme="minorHAnsi" w:eastAsiaTheme="minorEastAsia" w:hAnsiTheme="minorHAnsi" w:cstheme="minorBidi"/>
          <w:sz w:val="22"/>
          <w:lang w:eastAsia="en-US"/>
        </w:rPr>
      </w:pPr>
      <w:r w:rsidRPr="00057164">
        <w:rPr>
          <w:rFonts w:asciiTheme="minorHAnsi" w:eastAsiaTheme="minorEastAsia" w:hAnsiTheme="minorHAnsi" w:cstheme="minorBidi"/>
          <w:sz w:val="22"/>
          <w:lang w:eastAsia="en-US"/>
        </w:rPr>
        <w:t>Analyser et gérer les incidents d'exploitation, opérer la restitution ou le retour en arrière et assurer les opérations de maintenance</w:t>
      </w:r>
      <w:r w:rsidRPr="00057164">
        <w:rPr>
          <w:rFonts w:asciiTheme="minorHAnsi" w:eastAsiaTheme="minorEastAsia" w:hAnsiTheme="minorHAnsi" w:cstheme="minorBidi"/>
          <w:sz w:val="22"/>
          <w:lang w:eastAsia="en-US"/>
        </w:rPr>
        <w:br/>
        <w:t>•Assurer l'interface avec les fournisseurs, les architectes, les « TAM » et les IPCM</w:t>
      </w:r>
      <w:r w:rsidRPr="00057164">
        <w:rPr>
          <w:rFonts w:asciiTheme="minorHAnsi" w:eastAsiaTheme="minorEastAsia" w:hAnsiTheme="minorHAnsi" w:cstheme="minorBidi"/>
          <w:sz w:val="22"/>
          <w:lang w:eastAsia="en-US"/>
        </w:rPr>
        <w:br/>
        <w:t>•Assurer les homologations et la veille technologique</w:t>
      </w:r>
    </w:p>
    <w:p w14:paraId="3ADBB725" w14:textId="77777777" w:rsidR="00057164" w:rsidRPr="00057164" w:rsidRDefault="00057164" w:rsidP="00057164">
      <w:pPr>
        <w:pStyle w:val="Corpsdetexte"/>
      </w:pPr>
    </w:p>
    <w:p w14:paraId="3B157FBF" w14:textId="4AD811DD" w:rsidR="00057164" w:rsidRPr="00057164" w:rsidRDefault="00057164" w:rsidP="00057164">
      <w:pPr>
        <w:pStyle w:val="paragraph"/>
        <w:numPr>
          <w:ilvl w:val="0"/>
          <w:numId w:val="35"/>
        </w:numPr>
        <w:spacing w:before="0" w:beforeAutospacing="0" w:after="0" w:afterAutospacing="0"/>
        <w:textAlignment w:val="baseline"/>
        <w:rPr>
          <w:rFonts w:asciiTheme="minorHAnsi" w:eastAsiaTheme="minorEastAsia" w:hAnsiTheme="minorHAnsi" w:cstheme="minorBidi"/>
          <w:sz w:val="22"/>
          <w:lang w:eastAsia="en-US"/>
        </w:rPr>
      </w:pPr>
      <w:r w:rsidRPr="00057164">
        <w:rPr>
          <w:rFonts w:asciiTheme="minorHAnsi" w:eastAsiaTheme="minorEastAsia" w:hAnsiTheme="minorHAnsi" w:cstheme="minorBidi"/>
          <w:sz w:val="22"/>
          <w:lang w:eastAsia="en-US"/>
        </w:rPr>
        <w:t xml:space="preserve">Support niveau 3 aux équipes de </w:t>
      </w:r>
      <w:r w:rsidRPr="00057164">
        <w:rPr>
          <w:rFonts w:asciiTheme="minorHAnsi" w:eastAsiaTheme="minorEastAsia" w:hAnsiTheme="minorHAnsi" w:cstheme="minorBidi"/>
          <w:sz w:val="22"/>
          <w:lang w:eastAsia="en-US"/>
        </w:rPr>
        <w:t>production :</w:t>
      </w:r>
      <w:r w:rsidRPr="00057164">
        <w:rPr>
          <w:rFonts w:asciiTheme="minorHAnsi" w:eastAsiaTheme="minorEastAsia" w:hAnsiTheme="minorHAnsi" w:cstheme="minorBidi"/>
          <w:sz w:val="22"/>
          <w:lang w:eastAsia="en-US"/>
        </w:rPr>
        <w:br/>
        <w:t>•Assurer un support technique de 3ème niveau sur les environnements technique de production</w:t>
      </w:r>
      <w:r w:rsidRPr="00057164">
        <w:rPr>
          <w:rFonts w:asciiTheme="minorHAnsi" w:eastAsiaTheme="minorEastAsia" w:hAnsiTheme="minorHAnsi" w:cstheme="minorBidi"/>
          <w:sz w:val="22"/>
          <w:lang w:eastAsia="en-US"/>
        </w:rPr>
        <w:br/>
        <w:t>•Intervenir sur les incidents majeurs d'exploitation (analyse des incidents, diagnostic et résolution des incidents) en déclinant les consignes de reprise</w:t>
      </w:r>
    </w:p>
    <w:p w14:paraId="26A03926" w14:textId="77777777" w:rsidR="00057164" w:rsidRPr="00057164" w:rsidRDefault="00057164" w:rsidP="00057164">
      <w:pPr>
        <w:pStyle w:val="paragraph"/>
        <w:spacing w:before="0" w:beforeAutospacing="0" w:after="0" w:afterAutospacing="0"/>
        <w:ind w:left="720"/>
        <w:textAlignment w:val="baseline"/>
        <w:rPr>
          <w:rFonts w:asciiTheme="minorHAnsi" w:eastAsiaTheme="minorEastAsia" w:hAnsiTheme="minorHAnsi" w:cstheme="minorBidi"/>
          <w:sz w:val="22"/>
          <w:lang w:eastAsia="en-US"/>
        </w:rPr>
      </w:pPr>
    </w:p>
    <w:p w14:paraId="7A46F796" w14:textId="77777777" w:rsidR="00057164" w:rsidRPr="00057164" w:rsidRDefault="00057164" w:rsidP="00057164">
      <w:pPr>
        <w:pStyle w:val="paragraph"/>
        <w:numPr>
          <w:ilvl w:val="0"/>
          <w:numId w:val="35"/>
        </w:numPr>
        <w:spacing w:before="0" w:beforeAutospacing="0" w:after="0" w:afterAutospacing="0"/>
        <w:textAlignment w:val="baseline"/>
        <w:rPr>
          <w:rFonts w:asciiTheme="minorHAnsi" w:eastAsiaTheme="minorEastAsia" w:hAnsiTheme="minorHAnsi" w:cstheme="minorBidi"/>
          <w:sz w:val="22"/>
          <w:lang w:eastAsia="en-US"/>
        </w:rPr>
      </w:pPr>
      <w:r w:rsidRPr="00057164">
        <w:rPr>
          <w:rFonts w:asciiTheme="minorHAnsi" w:eastAsiaTheme="minorEastAsia" w:hAnsiTheme="minorHAnsi" w:cstheme="minorBidi"/>
          <w:sz w:val="22"/>
          <w:lang w:eastAsia="en-US"/>
        </w:rPr>
        <w:t>Définition et entretien des normes et procédures d'exploitation</w:t>
      </w:r>
      <w:r w:rsidRPr="00057164">
        <w:rPr>
          <w:rFonts w:asciiTheme="minorHAnsi" w:eastAsiaTheme="minorEastAsia" w:hAnsiTheme="minorHAnsi" w:cstheme="minorBidi"/>
          <w:sz w:val="22"/>
          <w:lang w:eastAsia="en-US"/>
        </w:rPr>
        <w:br/>
        <w:t>•Réaliser l'analyse des contraintes d'exploitabilité</w:t>
      </w:r>
      <w:r w:rsidRPr="00057164">
        <w:rPr>
          <w:rFonts w:asciiTheme="minorHAnsi" w:eastAsiaTheme="minorEastAsia" w:hAnsiTheme="minorHAnsi" w:cstheme="minorBidi"/>
          <w:sz w:val="22"/>
          <w:lang w:eastAsia="en-US"/>
        </w:rPr>
        <w:br/>
        <w:t>•Assurer et optimiser l'industrialisation de la production</w:t>
      </w:r>
      <w:r w:rsidRPr="00057164">
        <w:rPr>
          <w:rFonts w:asciiTheme="minorHAnsi" w:eastAsiaTheme="minorEastAsia" w:hAnsiTheme="minorHAnsi" w:cstheme="minorBidi"/>
          <w:sz w:val="22"/>
          <w:lang w:eastAsia="en-US"/>
        </w:rPr>
        <w:br/>
        <w:t>•Participer à la définition des normes et procédures et diffuser les consignes</w:t>
      </w:r>
      <w:r w:rsidRPr="00057164">
        <w:rPr>
          <w:rFonts w:asciiTheme="minorHAnsi" w:eastAsiaTheme="minorEastAsia" w:hAnsiTheme="minorHAnsi" w:cstheme="minorBidi"/>
          <w:sz w:val="22"/>
          <w:lang w:eastAsia="en-US"/>
        </w:rPr>
        <w:br/>
        <w:t>•Mettre en place et diffuser les indicateurs (performance, disponibilité et capacité) et les procédures d'exploitation</w:t>
      </w:r>
      <w:r w:rsidRPr="00057164">
        <w:rPr>
          <w:rFonts w:asciiTheme="minorHAnsi" w:eastAsiaTheme="minorEastAsia" w:hAnsiTheme="minorHAnsi" w:cstheme="minorBidi"/>
          <w:sz w:val="22"/>
          <w:lang w:eastAsia="en-US"/>
        </w:rPr>
        <w:br/>
        <w:t>•Participer à la définition et la mise en place du PRA</w:t>
      </w:r>
      <w:r w:rsidRPr="00057164">
        <w:rPr>
          <w:rFonts w:asciiTheme="minorHAnsi" w:eastAsiaTheme="minorEastAsia" w:hAnsiTheme="minorHAnsi" w:cstheme="minorBidi"/>
          <w:sz w:val="22"/>
          <w:lang w:eastAsia="en-US"/>
        </w:rPr>
        <w:br/>
        <w:t>•Assurer une veille technologique en matière de méthodes et outils de production</w:t>
      </w:r>
      <w:r w:rsidRPr="00057164">
        <w:rPr>
          <w:rFonts w:asciiTheme="minorHAnsi" w:eastAsiaTheme="minorEastAsia" w:hAnsiTheme="minorHAnsi" w:cstheme="minorBidi"/>
          <w:sz w:val="22"/>
          <w:lang w:eastAsia="en-US"/>
        </w:rPr>
        <w:br/>
        <w:t>•Définir les procédures pour assurer une maintenance préventive et curative des systèmes</w:t>
      </w:r>
    </w:p>
    <w:p w14:paraId="0F951C26" w14:textId="77777777" w:rsidR="00057164" w:rsidRPr="00057164" w:rsidRDefault="00057164" w:rsidP="00057164">
      <w:pPr>
        <w:pStyle w:val="paragraph"/>
        <w:spacing w:before="0" w:beforeAutospacing="0" w:after="0" w:afterAutospacing="0"/>
        <w:ind w:left="720"/>
        <w:textAlignment w:val="baseline"/>
        <w:rPr>
          <w:rFonts w:asciiTheme="minorHAnsi" w:eastAsiaTheme="minorEastAsia" w:hAnsiTheme="minorHAnsi" w:cstheme="minorBidi"/>
          <w:sz w:val="22"/>
          <w:lang w:eastAsia="en-US"/>
        </w:rPr>
      </w:pPr>
    </w:p>
    <w:p w14:paraId="1E821CF0" w14:textId="25A1E02D" w:rsidR="00057164" w:rsidRPr="00057164" w:rsidRDefault="00057164" w:rsidP="00057164">
      <w:pPr>
        <w:pStyle w:val="paragraph"/>
        <w:numPr>
          <w:ilvl w:val="0"/>
          <w:numId w:val="35"/>
        </w:numPr>
        <w:spacing w:before="0" w:beforeAutospacing="0" w:after="0" w:afterAutospacing="0"/>
        <w:textAlignment w:val="baseline"/>
        <w:rPr>
          <w:rFonts w:asciiTheme="minorHAnsi" w:eastAsiaTheme="minorEastAsia" w:hAnsiTheme="minorHAnsi" w:cstheme="minorBidi"/>
          <w:sz w:val="22"/>
          <w:lang w:eastAsia="en-US"/>
        </w:rPr>
      </w:pPr>
      <w:r w:rsidRPr="00057164">
        <w:rPr>
          <w:rFonts w:asciiTheme="minorHAnsi" w:eastAsiaTheme="minorEastAsia" w:hAnsiTheme="minorHAnsi" w:cstheme="minorBidi"/>
          <w:sz w:val="22"/>
          <w:lang w:eastAsia="en-US"/>
        </w:rPr>
        <w:t xml:space="preserve">Ingénierie analytique et chefferie de </w:t>
      </w:r>
      <w:r w:rsidRPr="00057164">
        <w:rPr>
          <w:rFonts w:asciiTheme="minorHAnsi" w:eastAsiaTheme="minorEastAsia" w:hAnsiTheme="minorHAnsi" w:cstheme="minorBidi"/>
          <w:sz w:val="22"/>
          <w:lang w:eastAsia="en-US"/>
        </w:rPr>
        <w:t>projet :</w:t>
      </w:r>
      <w:r w:rsidRPr="00057164">
        <w:rPr>
          <w:rFonts w:asciiTheme="minorHAnsi" w:eastAsiaTheme="minorEastAsia" w:hAnsiTheme="minorHAnsi" w:cstheme="minorBidi"/>
          <w:sz w:val="22"/>
          <w:lang w:eastAsia="en-US"/>
        </w:rPr>
        <w:br/>
        <w:t>•Collaborer à la définition ou à l'amélioration des TBD</w:t>
      </w:r>
      <w:r w:rsidRPr="00057164">
        <w:rPr>
          <w:rFonts w:asciiTheme="minorHAnsi" w:eastAsiaTheme="minorEastAsia" w:hAnsiTheme="minorHAnsi" w:cstheme="minorBidi"/>
          <w:sz w:val="22"/>
          <w:lang w:eastAsia="en-US"/>
        </w:rPr>
        <w:br/>
        <w:t>•Etablir la documentation technique, pérenniser la connaissance</w:t>
      </w:r>
      <w:r w:rsidRPr="00057164">
        <w:rPr>
          <w:rFonts w:asciiTheme="minorHAnsi" w:eastAsiaTheme="minorEastAsia" w:hAnsiTheme="minorHAnsi" w:cstheme="minorBidi"/>
          <w:sz w:val="22"/>
          <w:lang w:eastAsia="en-US"/>
        </w:rPr>
        <w:br/>
        <w:t>•Veiller à l'efficacité permanente des différents outillages</w:t>
      </w:r>
      <w:r w:rsidRPr="00057164">
        <w:rPr>
          <w:rFonts w:asciiTheme="minorHAnsi" w:eastAsiaTheme="minorEastAsia" w:hAnsiTheme="minorHAnsi" w:cstheme="minorBidi"/>
          <w:sz w:val="22"/>
          <w:lang w:eastAsia="en-US"/>
        </w:rPr>
        <w:br/>
        <w:t>•Anticiper les besoins des clients et les évolutions du système</w:t>
      </w:r>
      <w:r w:rsidRPr="00057164">
        <w:rPr>
          <w:rFonts w:asciiTheme="minorHAnsi" w:eastAsiaTheme="minorEastAsia" w:hAnsiTheme="minorHAnsi" w:cstheme="minorBidi"/>
          <w:sz w:val="22"/>
          <w:lang w:eastAsia="en-US"/>
        </w:rPr>
        <w:br/>
        <w:t>•Suivre les incidents d'exploitation, en analyser les causes et préconiser les mesures correctives associées</w:t>
      </w:r>
      <w:r w:rsidRPr="00057164">
        <w:rPr>
          <w:rFonts w:asciiTheme="minorHAnsi" w:eastAsiaTheme="minorEastAsia" w:hAnsiTheme="minorHAnsi" w:cstheme="minorBidi"/>
          <w:sz w:val="22"/>
          <w:lang w:eastAsia="en-US"/>
        </w:rPr>
        <w:br/>
        <w:t>•Assurer le pilotage des projets interne</w:t>
      </w:r>
    </w:p>
    <w:p w14:paraId="0C5589C1" w14:textId="77777777" w:rsidR="005F1552" w:rsidRPr="00C879DC" w:rsidRDefault="005F1552" w:rsidP="005F1552">
      <w:pPr>
        <w:pStyle w:val="Titre2"/>
        <w:rPr>
          <w:bCs/>
        </w:rPr>
      </w:pPr>
      <w:r>
        <w:rPr>
          <w:bCs/>
        </w:rPr>
        <w:t>Environnement technique</w:t>
      </w:r>
    </w:p>
    <w:p w14:paraId="48925D05" w14:textId="065DF095" w:rsidR="005F1552" w:rsidRPr="005F1552" w:rsidRDefault="005F1552" w:rsidP="005F1552">
      <w:pPr>
        <w:pStyle w:val="paragraph"/>
        <w:numPr>
          <w:ilvl w:val="0"/>
          <w:numId w:val="29"/>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Environ ~1</w:t>
      </w:r>
      <w:r w:rsidR="00057164">
        <w:rPr>
          <w:rFonts w:asciiTheme="minorHAnsi" w:eastAsiaTheme="minorEastAsia" w:hAnsiTheme="minorHAnsi" w:cstheme="minorBidi"/>
          <w:sz w:val="22"/>
          <w:lang w:eastAsia="en-US"/>
        </w:rPr>
        <w:t>5</w:t>
      </w:r>
      <w:r w:rsidRPr="005F1552">
        <w:rPr>
          <w:rFonts w:asciiTheme="minorHAnsi" w:eastAsiaTheme="minorEastAsia" w:hAnsiTheme="minorHAnsi" w:cstheme="minorBidi"/>
          <w:sz w:val="22"/>
          <w:lang w:eastAsia="en-US"/>
        </w:rPr>
        <w:t xml:space="preserve"> 000 serveurs physiques et virtuels </w:t>
      </w:r>
    </w:p>
    <w:p w14:paraId="32077397" w14:textId="77777777" w:rsidR="005F1552" w:rsidRPr="005F1552" w:rsidRDefault="005F1552" w:rsidP="005F1552">
      <w:pPr>
        <w:pStyle w:val="paragraph"/>
        <w:numPr>
          <w:ilvl w:val="0"/>
          <w:numId w:val="30"/>
        </w:numPr>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Windows</w:t>
      </w:r>
      <w:r w:rsidRPr="005F1552">
        <w:rPr>
          <w:rFonts w:eastAsiaTheme="minorEastAsia"/>
          <w:sz w:val="22"/>
          <w:lang w:eastAsia="en-US"/>
        </w:rPr>
        <w:t> </w:t>
      </w:r>
      <w:r w:rsidRPr="005F1552">
        <w:rPr>
          <w:rFonts w:asciiTheme="minorHAnsi" w:eastAsiaTheme="minorEastAsia" w:hAnsiTheme="minorHAnsi" w:cstheme="minorBidi"/>
          <w:sz w:val="22"/>
          <w:lang w:eastAsia="en-US"/>
        </w:rPr>
        <w:t>: environnements 2008R2 à 2022 </w:t>
      </w:r>
    </w:p>
    <w:p w14:paraId="62EA3B79" w14:textId="77777777" w:rsidR="005F1552" w:rsidRPr="005F1552" w:rsidRDefault="005F1552" w:rsidP="005F1552">
      <w:pPr>
        <w:pStyle w:val="paragraph"/>
        <w:numPr>
          <w:ilvl w:val="0"/>
          <w:numId w:val="30"/>
        </w:numPr>
        <w:shd w:val="clear" w:color="auto" w:fill="FFFFFF" w:themeFill="background1"/>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Linux</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RHEL, Oracle Linux, </w:t>
      </w:r>
      <w:proofErr w:type="spellStart"/>
      <w:r w:rsidRPr="005F1552">
        <w:rPr>
          <w:rFonts w:asciiTheme="minorHAnsi" w:eastAsiaTheme="minorEastAsia" w:hAnsiTheme="minorHAnsi" w:cstheme="minorBidi"/>
          <w:sz w:val="22"/>
          <w:lang w:eastAsia="en-US"/>
        </w:rPr>
        <w:t>Centos</w:t>
      </w:r>
      <w:proofErr w:type="spellEnd"/>
      <w:r w:rsidRPr="005F1552">
        <w:rPr>
          <w:rFonts w:asciiTheme="minorHAnsi" w:eastAsiaTheme="minorEastAsia" w:hAnsiTheme="minorHAnsi" w:cstheme="minorBidi"/>
          <w:sz w:val="22"/>
          <w:lang w:eastAsia="en-US"/>
        </w:rPr>
        <w:t xml:space="preserve"> 7/6/5, Ubuntu LTS 12 à 22 </w:t>
      </w:r>
    </w:p>
    <w:p w14:paraId="4EF88612" w14:textId="77777777" w:rsidR="005F1552" w:rsidRPr="005F1552" w:rsidRDefault="005F1552" w:rsidP="005F1552">
      <w:pPr>
        <w:pStyle w:val="paragraph"/>
        <w:numPr>
          <w:ilvl w:val="0"/>
          <w:numId w:val="30"/>
        </w:numPr>
        <w:shd w:val="clear" w:color="auto" w:fill="FFFFFF" w:themeFill="background1"/>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Aix</w:t>
      </w:r>
      <w:r w:rsidRPr="005F1552">
        <w:rPr>
          <w:rFonts w:eastAsiaTheme="minorEastAsia"/>
          <w:sz w:val="22"/>
          <w:lang w:eastAsia="en-US"/>
        </w:rPr>
        <w:t> </w:t>
      </w:r>
      <w:r w:rsidRPr="005F1552">
        <w:rPr>
          <w:rFonts w:asciiTheme="minorHAnsi" w:eastAsiaTheme="minorEastAsia" w:hAnsiTheme="minorHAnsi" w:cstheme="minorBidi"/>
          <w:sz w:val="22"/>
          <w:lang w:eastAsia="en-US"/>
        </w:rPr>
        <w:t>: 7.2/7.1/6.1/5.3 </w:t>
      </w:r>
    </w:p>
    <w:p w14:paraId="2F3C36B5" w14:textId="70604DFE" w:rsidR="005F1552" w:rsidRPr="005F1552" w:rsidRDefault="005F1552" w:rsidP="005F1552">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Virtualisation</w:t>
      </w:r>
      <w:r w:rsidRPr="005F1552">
        <w:rPr>
          <w:rFonts w:eastAsiaTheme="minorEastAsia"/>
          <w:sz w:val="22"/>
          <w:lang w:eastAsia="en-US"/>
        </w:rPr>
        <w:t> </w:t>
      </w:r>
      <w:r w:rsidRPr="005F1552">
        <w:rPr>
          <w:rFonts w:asciiTheme="minorHAnsi" w:eastAsiaTheme="minorEastAsia" w:hAnsiTheme="minorHAnsi" w:cstheme="minorBidi"/>
          <w:sz w:val="22"/>
          <w:lang w:eastAsia="en-US"/>
        </w:rPr>
        <w:t>: VMWare vSphere 6.5/6.7/7.0 avec des VM de grandes volumétries (plusieurs To)</w:t>
      </w:r>
    </w:p>
    <w:p w14:paraId="39ACC39F"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Outillage : </w:t>
      </w:r>
      <w:proofErr w:type="spellStart"/>
      <w:r w:rsidRPr="005F1552">
        <w:rPr>
          <w:rFonts w:asciiTheme="minorHAnsi" w:eastAsiaTheme="minorEastAsia" w:hAnsiTheme="minorHAnsi" w:cstheme="minorBidi"/>
          <w:sz w:val="22"/>
          <w:lang w:eastAsia="en-US"/>
        </w:rPr>
        <w:t>vRealize</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VMVare</w:t>
      </w:r>
      <w:proofErr w:type="spellEnd"/>
      <w:r w:rsidRPr="005F1552">
        <w:rPr>
          <w:rFonts w:asciiTheme="minorHAnsi" w:eastAsiaTheme="minorEastAsia" w:hAnsiTheme="minorHAnsi" w:cstheme="minorBidi"/>
          <w:sz w:val="22"/>
          <w:lang w:eastAsia="en-US"/>
        </w:rPr>
        <w:t xml:space="preserve"> Network Insight, </w:t>
      </w:r>
      <w:proofErr w:type="spellStart"/>
      <w:r w:rsidRPr="005F1552">
        <w:rPr>
          <w:rFonts w:asciiTheme="minorHAnsi" w:eastAsiaTheme="minorEastAsia" w:hAnsiTheme="minorHAnsi" w:cstheme="minorBidi"/>
          <w:sz w:val="22"/>
          <w:lang w:eastAsia="en-US"/>
        </w:rPr>
        <w:t>Lansweeper</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Katello</w:t>
      </w:r>
      <w:proofErr w:type="spellEnd"/>
      <w:r w:rsidRPr="005F1552">
        <w:rPr>
          <w:rFonts w:asciiTheme="minorHAnsi" w:eastAsiaTheme="minorEastAsia" w:hAnsiTheme="minorHAnsi" w:cstheme="minorBidi"/>
          <w:sz w:val="22"/>
          <w:lang w:eastAsia="en-US"/>
        </w:rPr>
        <w:t xml:space="preserve"> Foreman</w:t>
      </w:r>
    </w:p>
    <w:p w14:paraId="275064E6"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Stockage : </w:t>
      </w:r>
      <w:proofErr w:type="spellStart"/>
      <w:r w:rsidRPr="005F1552">
        <w:rPr>
          <w:rFonts w:asciiTheme="minorHAnsi" w:eastAsiaTheme="minorEastAsia" w:hAnsiTheme="minorHAnsi" w:cstheme="minorBidi"/>
          <w:sz w:val="22"/>
          <w:lang w:eastAsia="en-US"/>
        </w:rPr>
        <w:t>Netapp</w:t>
      </w:r>
      <w:proofErr w:type="spellEnd"/>
      <w:r w:rsidRPr="005F1552">
        <w:rPr>
          <w:rFonts w:asciiTheme="minorHAnsi" w:eastAsiaTheme="minorEastAsia" w:hAnsiTheme="minorHAnsi" w:cstheme="minorBidi"/>
          <w:sz w:val="22"/>
          <w:lang w:eastAsia="en-US"/>
        </w:rPr>
        <w:t>, Pure Storage, Huawei, EMC, infrastructures répliquées et géo-répliquées  </w:t>
      </w:r>
    </w:p>
    <w:p w14:paraId="43B48258"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SAN : </w:t>
      </w:r>
      <w:proofErr w:type="spellStart"/>
      <w:r w:rsidRPr="005F1552">
        <w:rPr>
          <w:rFonts w:asciiTheme="minorHAnsi" w:eastAsiaTheme="minorEastAsia" w:hAnsiTheme="minorHAnsi" w:cstheme="minorBidi"/>
          <w:sz w:val="22"/>
          <w:lang w:eastAsia="en-US"/>
        </w:rPr>
        <w:t>Brocade</w:t>
      </w:r>
      <w:proofErr w:type="spellEnd"/>
      <w:r w:rsidRPr="005F1552">
        <w:rPr>
          <w:rFonts w:asciiTheme="minorHAnsi" w:eastAsiaTheme="minorEastAsia" w:hAnsiTheme="minorHAnsi" w:cstheme="minorBidi"/>
          <w:sz w:val="22"/>
          <w:lang w:eastAsia="en-US"/>
        </w:rPr>
        <w:t>, CISCO  </w:t>
      </w:r>
    </w:p>
    <w:p w14:paraId="1FA8FF74"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Sauvegardes</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Veeam/Exagrid, HP </w:t>
      </w:r>
      <w:proofErr w:type="spellStart"/>
      <w:r w:rsidRPr="005F1552">
        <w:rPr>
          <w:rFonts w:asciiTheme="minorHAnsi" w:eastAsiaTheme="minorEastAsia" w:hAnsiTheme="minorHAnsi" w:cstheme="minorBidi"/>
          <w:sz w:val="22"/>
          <w:lang w:eastAsia="en-US"/>
        </w:rPr>
        <w:t>DataProtector</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Commvault</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DataDomain</w:t>
      </w:r>
      <w:proofErr w:type="spellEnd"/>
      <w:r w:rsidRPr="005F1552">
        <w:rPr>
          <w:rFonts w:asciiTheme="minorHAnsi" w:eastAsiaTheme="minorEastAsia" w:hAnsiTheme="minorHAnsi" w:cstheme="minorBidi"/>
          <w:sz w:val="22"/>
          <w:lang w:eastAsia="en-US"/>
        </w:rPr>
        <w:t> </w:t>
      </w:r>
    </w:p>
    <w:p w14:paraId="6448926E"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 xml:space="preserve">Automatisation : Ansible/AWX, </w:t>
      </w:r>
      <w:proofErr w:type="spellStart"/>
      <w:r w:rsidRPr="005F1552">
        <w:rPr>
          <w:rFonts w:asciiTheme="minorHAnsi" w:eastAsiaTheme="minorEastAsia" w:hAnsiTheme="minorHAnsi" w:cstheme="minorBidi"/>
          <w:sz w:val="22"/>
          <w:lang w:eastAsia="en-US"/>
        </w:rPr>
        <w:t>Openshift</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OpenNebula</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ManageIQ</w:t>
      </w:r>
      <w:proofErr w:type="spellEnd"/>
      <w:r w:rsidRPr="005F1552">
        <w:rPr>
          <w:rFonts w:asciiTheme="minorHAnsi" w:eastAsiaTheme="minorEastAsia" w:hAnsiTheme="minorHAnsi" w:cstheme="minorBidi"/>
          <w:sz w:val="22"/>
          <w:lang w:eastAsia="en-US"/>
        </w:rPr>
        <w:t>, GIT, Scripting (</w:t>
      </w:r>
      <w:proofErr w:type="spellStart"/>
      <w:r w:rsidRPr="005F1552">
        <w:rPr>
          <w:rFonts w:asciiTheme="minorHAnsi" w:eastAsiaTheme="minorEastAsia" w:hAnsiTheme="minorHAnsi" w:cstheme="minorBidi"/>
          <w:sz w:val="22"/>
          <w:lang w:eastAsia="en-US"/>
        </w:rPr>
        <w:t>shell</w:t>
      </w:r>
      <w:proofErr w:type="spellEnd"/>
      <w:r w:rsidRPr="005F1552">
        <w:rPr>
          <w:rFonts w:asciiTheme="minorHAnsi" w:eastAsiaTheme="minorEastAsia" w:hAnsiTheme="minorHAnsi" w:cstheme="minorBidi"/>
          <w:sz w:val="22"/>
          <w:lang w:eastAsia="en-US"/>
        </w:rPr>
        <w:t xml:space="preserve">, PS, Perl, </w:t>
      </w:r>
      <w:proofErr w:type="spellStart"/>
      <w:r w:rsidRPr="005F1552">
        <w:rPr>
          <w:rFonts w:asciiTheme="minorHAnsi" w:eastAsiaTheme="minorEastAsia" w:hAnsiTheme="minorHAnsi" w:cstheme="minorBidi"/>
          <w:sz w:val="22"/>
          <w:lang w:eastAsia="en-US"/>
        </w:rPr>
        <w:t>Yaml</w:t>
      </w:r>
      <w:proofErr w:type="spellEnd"/>
      <w:r w:rsidRPr="005F1552">
        <w:rPr>
          <w:rFonts w:asciiTheme="minorHAnsi" w:eastAsiaTheme="minorEastAsia" w:hAnsiTheme="minorHAnsi" w:cstheme="minorBidi"/>
          <w:sz w:val="22"/>
          <w:lang w:eastAsia="en-US"/>
        </w:rPr>
        <w:t>, …) </w:t>
      </w:r>
    </w:p>
    <w:p w14:paraId="313C26B3"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Orchestration</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Openshift</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Openstack</w:t>
      </w:r>
      <w:proofErr w:type="spellEnd"/>
      <w:r w:rsidRPr="005F1552">
        <w:rPr>
          <w:rFonts w:asciiTheme="minorHAnsi" w:eastAsiaTheme="minorEastAsia" w:hAnsiTheme="minorHAnsi" w:cstheme="minorBidi"/>
          <w:sz w:val="22"/>
          <w:lang w:eastAsia="en-US"/>
        </w:rPr>
        <w:t xml:space="preserve">, Docker </w:t>
      </w:r>
      <w:proofErr w:type="spellStart"/>
      <w:r w:rsidRPr="005F1552">
        <w:rPr>
          <w:rFonts w:asciiTheme="minorHAnsi" w:eastAsiaTheme="minorEastAsia" w:hAnsiTheme="minorHAnsi" w:cstheme="minorBidi"/>
          <w:sz w:val="22"/>
          <w:lang w:eastAsia="en-US"/>
        </w:rPr>
        <w:t>Swarm</w:t>
      </w:r>
      <w:proofErr w:type="spellEnd"/>
      <w:r w:rsidRPr="005F1552">
        <w:rPr>
          <w:rFonts w:asciiTheme="minorHAnsi" w:eastAsiaTheme="minorEastAsia" w:hAnsiTheme="minorHAnsi" w:cstheme="minorBidi"/>
          <w:sz w:val="22"/>
          <w:lang w:eastAsia="en-US"/>
        </w:rPr>
        <w:t> </w:t>
      </w:r>
    </w:p>
    <w:p w14:paraId="3CC614B6"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Middlewares</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Tomcat, </w:t>
      </w:r>
      <w:proofErr w:type="spellStart"/>
      <w:r w:rsidRPr="005F1552">
        <w:rPr>
          <w:rFonts w:asciiTheme="minorHAnsi" w:eastAsiaTheme="minorEastAsia" w:hAnsiTheme="minorHAnsi" w:cstheme="minorBidi"/>
          <w:sz w:val="22"/>
          <w:lang w:eastAsia="en-US"/>
        </w:rPr>
        <w:t>Jboss</w:t>
      </w:r>
      <w:proofErr w:type="spellEnd"/>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Wildfly</w:t>
      </w:r>
      <w:proofErr w:type="spellEnd"/>
      <w:r w:rsidRPr="005F1552">
        <w:rPr>
          <w:rFonts w:asciiTheme="minorHAnsi" w:eastAsiaTheme="minorEastAsia" w:hAnsiTheme="minorHAnsi" w:cstheme="minorBidi"/>
          <w:sz w:val="22"/>
          <w:lang w:eastAsia="en-US"/>
        </w:rPr>
        <w:t>, Apache, Nginx, DRBD, HA, Keepalive, ELK, … </w:t>
      </w:r>
    </w:p>
    <w:p w14:paraId="62824AE3" w14:textId="77777777" w:rsid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Base de données</w:t>
      </w:r>
      <w:r w:rsidRPr="005F1552">
        <w:rPr>
          <w:rFonts w:eastAsiaTheme="minorEastAsia"/>
          <w:sz w:val="22"/>
          <w:lang w:eastAsia="en-US"/>
        </w:rPr>
        <w:t> </w:t>
      </w:r>
      <w:r w:rsidRPr="005F1552">
        <w:rPr>
          <w:rFonts w:asciiTheme="minorHAnsi" w:eastAsiaTheme="minorEastAsia" w:hAnsiTheme="minorHAnsi" w:cstheme="minorBidi"/>
          <w:sz w:val="22"/>
          <w:lang w:eastAsia="en-US"/>
        </w:rPr>
        <w:t xml:space="preserve">: </w:t>
      </w:r>
      <w:proofErr w:type="spellStart"/>
      <w:r w:rsidRPr="005F1552">
        <w:rPr>
          <w:rFonts w:asciiTheme="minorHAnsi" w:eastAsiaTheme="minorEastAsia" w:hAnsiTheme="minorHAnsi" w:cstheme="minorBidi"/>
          <w:sz w:val="22"/>
          <w:lang w:eastAsia="en-US"/>
        </w:rPr>
        <w:t>MariaDB</w:t>
      </w:r>
      <w:proofErr w:type="spellEnd"/>
      <w:r w:rsidRPr="005F1552">
        <w:rPr>
          <w:rFonts w:asciiTheme="minorHAnsi" w:eastAsiaTheme="minorEastAsia" w:hAnsiTheme="minorHAnsi" w:cstheme="minorBidi"/>
          <w:sz w:val="22"/>
          <w:lang w:eastAsia="en-US"/>
        </w:rPr>
        <w:t>, Oracle, MSSQL, PostgreSQL, Elastic Search, MongoDB, Cassandra </w:t>
      </w:r>
    </w:p>
    <w:p w14:paraId="187C6D50" w14:textId="7854A672" w:rsidR="005F1552" w:rsidRPr="005F1552" w:rsidRDefault="005F1552" w:rsidP="005F1552">
      <w:pPr>
        <w:pStyle w:val="paragraph"/>
        <w:numPr>
          <w:ilvl w:val="1"/>
          <w:numId w:val="31"/>
        </w:numPr>
        <w:spacing w:before="0" w:beforeAutospacing="0" w:after="0" w:afterAutospacing="0"/>
        <w:jc w:val="both"/>
        <w:textAlignment w:val="baseline"/>
        <w:rPr>
          <w:rFonts w:asciiTheme="minorHAnsi" w:eastAsiaTheme="minorEastAsia" w:hAnsiTheme="minorHAnsi" w:cstheme="minorBidi"/>
          <w:sz w:val="22"/>
          <w:lang w:eastAsia="en-US"/>
        </w:rPr>
      </w:pPr>
      <w:r w:rsidRPr="005F1552">
        <w:rPr>
          <w:rFonts w:asciiTheme="minorHAnsi" w:eastAsiaTheme="minorEastAsia" w:hAnsiTheme="minorHAnsi" w:cstheme="minorBidi"/>
          <w:sz w:val="22"/>
          <w:lang w:eastAsia="en-US"/>
        </w:rPr>
        <w:t>Supervision</w:t>
      </w:r>
      <w:r w:rsidRPr="005F1552">
        <w:rPr>
          <w:rFonts w:eastAsiaTheme="minorEastAsia"/>
          <w:sz w:val="22"/>
          <w:lang w:eastAsia="en-US"/>
        </w:rPr>
        <w:t> </w:t>
      </w:r>
      <w:r w:rsidRPr="005F1552">
        <w:rPr>
          <w:rFonts w:asciiTheme="minorHAnsi" w:eastAsiaTheme="minorEastAsia" w:hAnsiTheme="minorHAnsi" w:cstheme="minorBidi"/>
          <w:sz w:val="22"/>
          <w:lang w:eastAsia="en-US"/>
        </w:rPr>
        <w:t>: Centreon, Zabbix </w:t>
      </w:r>
    </w:p>
    <w:p w14:paraId="4823467C" w14:textId="77777777" w:rsidR="005F1552" w:rsidRPr="005F1552" w:rsidRDefault="005F1552" w:rsidP="005F1552">
      <w:pPr>
        <w:pStyle w:val="paragraph"/>
        <w:spacing w:before="0" w:beforeAutospacing="0" w:after="0" w:afterAutospacing="0"/>
        <w:ind w:left="1800"/>
        <w:jc w:val="both"/>
        <w:textAlignment w:val="baseline"/>
        <w:rPr>
          <w:rFonts w:asciiTheme="minorHAnsi" w:eastAsiaTheme="minorEastAsia" w:hAnsiTheme="minorHAnsi" w:cstheme="minorBidi"/>
          <w:sz w:val="22"/>
          <w:lang w:eastAsia="en-US"/>
        </w:rPr>
      </w:pPr>
    </w:p>
    <w:p w14:paraId="1F45F90F" w14:textId="0934C2D6"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438D" w14:textId="77777777" w:rsidR="006B062C" w:rsidRDefault="006B062C" w:rsidP="00D15955">
      <w:pPr>
        <w:spacing w:before="0" w:after="0"/>
      </w:pPr>
      <w:r>
        <w:separator/>
      </w:r>
    </w:p>
  </w:endnote>
  <w:endnote w:type="continuationSeparator" w:id="0">
    <w:p w14:paraId="6FE74E36" w14:textId="77777777" w:rsidR="006B062C" w:rsidRDefault="006B062C"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1FD2" w14:textId="77777777" w:rsidR="006B062C" w:rsidRDefault="006B062C" w:rsidP="00D15955">
      <w:pPr>
        <w:spacing w:before="0" w:after="0"/>
      </w:pPr>
      <w:r>
        <w:separator/>
      </w:r>
    </w:p>
  </w:footnote>
  <w:footnote w:type="continuationSeparator" w:id="0">
    <w:p w14:paraId="58E0D02C" w14:textId="77777777" w:rsidR="006B062C" w:rsidRDefault="006B062C"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6C"/>
    <w:multiLevelType w:val="hybridMultilevel"/>
    <w:tmpl w:val="1624B9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E0134"/>
    <w:multiLevelType w:val="hybridMultilevel"/>
    <w:tmpl w:val="BFB2C5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10"/>
  </w:num>
  <w:num w:numId="2" w16cid:durableId="1371027513">
    <w:abstractNumId w:val="14"/>
  </w:num>
  <w:num w:numId="3" w16cid:durableId="1258057163">
    <w:abstractNumId w:val="27"/>
  </w:num>
  <w:num w:numId="4" w16cid:durableId="1544825230">
    <w:abstractNumId w:val="28"/>
  </w:num>
  <w:num w:numId="5" w16cid:durableId="1830630846">
    <w:abstractNumId w:val="17"/>
  </w:num>
  <w:num w:numId="6" w16cid:durableId="1294753357">
    <w:abstractNumId w:val="12"/>
  </w:num>
  <w:num w:numId="7" w16cid:durableId="68700583">
    <w:abstractNumId w:val="13"/>
  </w:num>
  <w:num w:numId="8" w16cid:durableId="1893149393">
    <w:abstractNumId w:val="2"/>
  </w:num>
  <w:num w:numId="9" w16cid:durableId="1926303956">
    <w:abstractNumId w:val="34"/>
  </w:num>
  <w:num w:numId="10" w16cid:durableId="800420314">
    <w:abstractNumId w:val="22"/>
  </w:num>
  <w:num w:numId="11" w16cid:durableId="1949581774">
    <w:abstractNumId w:val="30"/>
  </w:num>
  <w:num w:numId="12" w16cid:durableId="511186015">
    <w:abstractNumId w:val="7"/>
  </w:num>
  <w:num w:numId="13" w16cid:durableId="699168185">
    <w:abstractNumId w:val="6"/>
  </w:num>
  <w:num w:numId="14" w16cid:durableId="1668290195">
    <w:abstractNumId w:val="20"/>
  </w:num>
  <w:num w:numId="15" w16cid:durableId="87581265">
    <w:abstractNumId w:val="32"/>
  </w:num>
  <w:num w:numId="16" w16cid:durableId="1825315252">
    <w:abstractNumId w:val="8"/>
  </w:num>
  <w:num w:numId="17" w16cid:durableId="236214193">
    <w:abstractNumId w:val="15"/>
  </w:num>
  <w:num w:numId="18" w16cid:durableId="1499156081">
    <w:abstractNumId w:val="4"/>
  </w:num>
  <w:num w:numId="19" w16cid:durableId="340007861">
    <w:abstractNumId w:val="11"/>
  </w:num>
  <w:num w:numId="20" w16cid:durableId="78450675">
    <w:abstractNumId w:val="29"/>
  </w:num>
  <w:num w:numId="21" w16cid:durableId="2126776144">
    <w:abstractNumId w:val="18"/>
  </w:num>
  <w:num w:numId="22" w16cid:durableId="1389185491">
    <w:abstractNumId w:val="16"/>
  </w:num>
  <w:num w:numId="23" w16cid:durableId="1695425394">
    <w:abstractNumId w:val="26"/>
  </w:num>
  <w:num w:numId="24" w16cid:durableId="1953975866">
    <w:abstractNumId w:val="25"/>
  </w:num>
  <w:num w:numId="25" w16cid:durableId="934675959">
    <w:abstractNumId w:val="5"/>
  </w:num>
  <w:num w:numId="26" w16cid:durableId="1141078391">
    <w:abstractNumId w:val="19"/>
  </w:num>
  <w:num w:numId="27" w16cid:durableId="1689062661">
    <w:abstractNumId w:val="33"/>
  </w:num>
  <w:num w:numId="28" w16cid:durableId="1005060983">
    <w:abstractNumId w:val="24"/>
  </w:num>
  <w:num w:numId="29" w16cid:durableId="1136487638">
    <w:abstractNumId w:val="23"/>
  </w:num>
  <w:num w:numId="30" w16cid:durableId="485439542">
    <w:abstractNumId w:val="21"/>
  </w:num>
  <w:num w:numId="31" w16cid:durableId="949974782">
    <w:abstractNumId w:val="31"/>
  </w:num>
  <w:num w:numId="32" w16cid:durableId="775056651">
    <w:abstractNumId w:val="1"/>
  </w:num>
  <w:num w:numId="33" w16cid:durableId="313142482">
    <w:abstractNumId w:val="3"/>
  </w:num>
  <w:num w:numId="34" w16cid:durableId="35934766">
    <w:abstractNumId w:val="0"/>
  </w:num>
  <w:num w:numId="35" w16cid:durableId="647511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57164"/>
    <w:rsid w:val="000655B6"/>
    <w:rsid w:val="00073F09"/>
    <w:rsid w:val="00083961"/>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205"/>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1552"/>
    <w:rsid w:val="005F7210"/>
    <w:rsid w:val="0061295B"/>
    <w:rsid w:val="00621A08"/>
    <w:rsid w:val="00626280"/>
    <w:rsid w:val="00633D82"/>
    <w:rsid w:val="0063705E"/>
    <w:rsid w:val="0064157C"/>
    <w:rsid w:val="00662217"/>
    <w:rsid w:val="006657A9"/>
    <w:rsid w:val="00673234"/>
    <w:rsid w:val="00680E58"/>
    <w:rsid w:val="00693828"/>
    <w:rsid w:val="006A1787"/>
    <w:rsid w:val="006B062C"/>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0F55"/>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CE6272"/>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2.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4.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34</TotalTime>
  <Pages>2</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8</cp:revision>
  <dcterms:created xsi:type="dcterms:W3CDTF">2022-12-07T09:54:00Z</dcterms:created>
  <dcterms:modified xsi:type="dcterms:W3CDTF">2023-09-06T13:06:00Z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